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98" w:rsidRDefault="008C0898" w:rsidP="008C0898">
      <w:pPr>
        <w:pStyle w:val="1"/>
        <w:framePr w:w="11114" w:h="15563" w:hRule="exact" w:wrap="none" w:vAnchor="text" w:hAnchor="page" w:x="354" w:y="-707"/>
        <w:spacing w:after="100"/>
        <w:ind w:firstLine="0"/>
        <w:jc w:val="center"/>
        <w:rPr>
          <w:b/>
          <w:sz w:val="44"/>
        </w:rPr>
      </w:pPr>
      <w:r w:rsidRPr="008C0898">
        <w:rPr>
          <w:b/>
          <w:sz w:val="44"/>
        </w:rPr>
        <w:t>ВАЖНАЯ ИНФОРМАЦИЯ</w:t>
      </w:r>
      <w:proofErr w:type="gramStart"/>
      <w:r w:rsidRPr="008C0898">
        <w:rPr>
          <w:b/>
          <w:sz w:val="44"/>
        </w:rPr>
        <w:t xml:space="preserve"> !</w:t>
      </w:r>
      <w:proofErr w:type="gramEnd"/>
      <w:r w:rsidRPr="008C0898">
        <w:rPr>
          <w:b/>
          <w:sz w:val="44"/>
        </w:rPr>
        <w:t>!!</w:t>
      </w:r>
    </w:p>
    <w:p w:rsidR="008C0898" w:rsidRPr="008C0898" w:rsidRDefault="008C0898" w:rsidP="008C0898">
      <w:pPr>
        <w:pStyle w:val="1"/>
        <w:framePr w:w="11114" w:h="15563" w:hRule="exact" w:wrap="none" w:vAnchor="text" w:hAnchor="page" w:x="354" w:y="-707"/>
        <w:spacing w:after="100"/>
        <w:ind w:firstLine="0"/>
        <w:jc w:val="center"/>
        <w:rPr>
          <w:b/>
          <w:sz w:val="44"/>
        </w:rPr>
      </w:pPr>
    </w:p>
    <w:p w:rsidR="008C0898" w:rsidRPr="008C0898" w:rsidRDefault="008C0898" w:rsidP="008C0898">
      <w:pPr>
        <w:pStyle w:val="1"/>
        <w:framePr w:w="11114" w:h="15563" w:hRule="exact" w:wrap="none" w:vAnchor="text" w:hAnchor="page" w:x="354" w:y="-707"/>
        <w:ind w:firstLine="500"/>
        <w:jc w:val="both"/>
        <w:rPr>
          <w:b/>
          <w:bCs/>
          <w:sz w:val="52"/>
        </w:rPr>
      </w:pPr>
    </w:p>
    <w:p w:rsid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color w:val="000000"/>
          <w:sz w:val="36"/>
          <w:szCs w:val="40"/>
        </w:rPr>
      </w:pPr>
      <w:r w:rsidRPr="008C0898">
        <w:rPr>
          <w:color w:val="000000"/>
          <w:sz w:val="36"/>
          <w:szCs w:val="40"/>
        </w:rPr>
        <w:t>Сообщаем, что в рамках повышения качества обслуживания граждан, проживающих на территории Республики Дагестан, а также с учетом социальной ориентированност</w:t>
      </w:r>
      <w:proofErr w:type="gramStart"/>
      <w:r w:rsidRPr="008C0898">
        <w:rPr>
          <w:color w:val="000000"/>
          <w:sz w:val="36"/>
          <w:szCs w:val="40"/>
        </w:rPr>
        <w:t>и ООО</w:t>
      </w:r>
      <w:proofErr w:type="gramEnd"/>
      <w:r w:rsidRPr="008C0898">
        <w:rPr>
          <w:color w:val="000000"/>
          <w:sz w:val="36"/>
          <w:szCs w:val="40"/>
        </w:rPr>
        <w:t xml:space="preserve"> «Газпром </w:t>
      </w:r>
      <w:proofErr w:type="spellStart"/>
      <w:r w:rsidRPr="008C0898">
        <w:rPr>
          <w:color w:val="000000"/>
          <w:sz w:val="36"/>
          <w:szCs w:val="40"/>
        </w:rPr>
        <w:t>Межрегионгаз</w:t>
      </w:r>
      <w:proofErr w:type="spellEnd"/>
      <w:r w:rsidRPr="008C0898">
        <w:rPr>
          <w:color w:val="000000"/>
          <w:sz w:val="36"/>
          <w:szCs w:val="40"/>
        </w:rPr>
        <w:t xml:space="preserve"> Махачкала», организован и функционирует</w:t>
      </w:r>
      <w:r>
        <w:rPr>
          <w:color w:val="000000"/>
          <w:sz w:val="36"/>
          <w:szCs w:val="40"/>
        </w:rPr>
        <w:t xml:space="preserve">    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ind w:firstLine="0"/>
        <w:jc w:val="both"/>
        <w:rPr>
          <w:color w:val="000000"/>
          <w:sz w:val="36"/>
          <w:szCs w:val="40"/>
        </w:rPr>
      </w:pPr>
      <w:r w:rsidRPr="008C0898">
        <w:rPr>
          <w:color w:val="000000"/>
          <w:sz w:val="36"/>
          <w:szCs w:val="40"/>
        </w:rPr>
        <w:t xml:space="preserve"> </w:t>
      </w:r>
      <w:r w:rsidRPr="008C0898">
        <w:rPr>
          <w:b/>
          <w:color w:val="000000"/>
          <w:sz w:val="36"/>
          <w:szCs w:val="40"/>
        </w:rPr>
        <w:t>Call-центр (телефон: 8-800-200-98-04</w:t>
      </w:r>
      <w:r w:rsidRPr="008C0898">
        <w:rPr>
          <w:color w:val="000000"/>
          <w:sz w:val="36"/>
          <w:szCs w:val="40"/>
        </w:rPr>
        <w:t>).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sz w:val="36"/>
          <w:szCs w:val="40"/>
        </w:rPr>
      </w:pPr>
      <w:r w:rsidRPr="008C0898">
        <w:rPr>
          <w:color w:val="000000"/>
          <w:sz w:val="36"/>
          <w:szCs w:val="40"/>
        </w:rPr>
        <w:t>Основными направлениями Call-центр</w:t>
      </w:r>
      <w:proofErr w:type="gramStart"/>
      <w:r w:rsidRPr="008C0898">
        <w:rPr>
          <w:color w:val="000000"/>
          <w:sz w:val="36"/>
          <w:szCs w:val="40"/>
        </w:rPr>
        <w:t>а ООО</w:t>
      </w:r>
      <w:proofErr w:type="gramEnd"/>
      <w:r w:rsidRPr="008C0898">
        <w:rPr>
          <w:color w:val="000000"/>
          <w:sz w:val="36"/>
          <w:szCs w:val="40"/>
        </w:rPr>
        <w:t xml:space="preserve"> «Газпром </w:t>
      </w:r>
      <w:proofErr w:type="spellStart"/>
      <w:r w:rsidRPr="008C0898">
        <w:rPr>
          <w:color w:val="000000"/>
          <w:sz w:val="36"/>
          <w:szCs w:val="40"/>
        </w:rPr>
        <w:t>Межрегионгаз</w:t>
      </w:r>
      <w:proofErr w:type="spellEnd"/>
      <w:r w:rsidRPr="008C0898">
        <w:rPr>
          <w:color w:val="000000"/>
          <w:sz w:val="36"/>
          <w:szCs w:val="40"/>
        </w:rPr>
        <w:t xml:space="preserve"> Махачкала» установлены методическая и практическая помощь жителям республики по следующим направлениям: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numPr>
          <w:ilvl w:val="0"/>
          <w:numId w:val="1"/>
        </w:numPr>
        <w:tabs>
          <w:tab w:val="left" w:pos="616"/>
        </w:tabs>
        <w:ind w:firstLine="500"/>
        <w:jc w:val="both"/>
        <w:rPr>
          <w:sz w:val="36"/>
          <w:szCs w:val="40"/>
        </w:rPr>
      </w:pPr>
      <w:bookmarkStart w:id="0" w:name="bookmark0"/>
      <w:bookmarkEnd w:id="0"/>
      <w:r w:rsidRPr="008C0898">
        <w:rPr>
          <w:color w:val="000000"/>
          <w:sz w:val="36"/>
          <w:szCs w:val="40"/>
        </w:rPr>
        <w:t xml:space="preserve">порядок газификации </w:t>
      </w:r>
      <w:proofErr w:type="spellStart"/>
      <w:r w:rsidRPr="008C0898">
        <w:rPr>
          <w:color w:val="000000"/>
          <w:sz w:val="36"/>
          <w:szCs w:val="40"/>
        </w:rPr>
        <w:t>нововводимого</w:t>
      </w:r>
      <w:proofErr w:type="spellEnd"/>
      <w:r w:rsidRPr="008C0898">
        <w:rPr>
          <w:color w:val="000000"/>
          <w:sz w:val="36"/>
          <w:szCs w:val="40"/>
        </w:rPr>
        <w:t xml:space="preserve"> в эксплуатацию жилого фонда и заключение договоров на поставку газа;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numPr>
          <w:ilvl w:val="0"/>
          <w:numId w:val="1"/>
        </w:numPr>
        <w:tabs>
          <w:tab w:val="left" w:pos="646"/>
        </w:tabs>
        <w:ind w:firstLine="500"/>
        <w:jc w:val="both"/>
        <w:rPr>
          <w:sz w:val="36"/>
          <w:szCs w:val="40"/>
        </w:rPr>
      </w:pPr>
      <w:bookmarkStart w:id="1" w:name="bookmark1"/>
      <w:bookmarkEnd w:id="1"/>
      <w:r w:rsidRPr="008C0898">
        <w:rPr>
          <w:color w:val="000000"/>
          <w:sz w:val="36"/>
          <w:szCs w:val="40"/>
        </w:rPr>
        <w:t>порядок начислений и платы за потребленны</w:t>
      </w:r>
      <w:r>
        <w:rPr>
          <w:color w:val="000000"/>
          <w:sz w:val="36"/>
          <w:szCs w:val="40"/>
        </w:rPr>
        <w:t xml:space="preserve">й газ в соответствии с </w:t>
      </w:r>
      <w:proofErr w:type="gramStart"/>
      <w:r>
        <w:rPr>
          <w:color w:val="000000"/>
          <w:sz w:val="36"/>
          <w:szCs w:val="40"/>
        </w:rPr>
        <w:t>действующ</w:t>
      </w:r>
      <w:r w:rsidRPr="008C0898">
        <w:rPr>
          <w:color w:val="000000"/>
          <w:sz w:val="36"/>
          <w:szCs w:val="40"/>
        </w:rPr>
        <w:t>им</w:t>
      </w:r>
      <w:proofErr w:type="gramEnd"/>
      <w:r w:rsidRPr="008C0898">
        <w:rPr>
          <w:color w:val="000000"/>
          <w:sz w:val="36"/>
          <w:szCs w:val="40"/>
        </w:rPr>
        <w:t xml:space="preserve"> на территории Российской Федерации законодательства;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numPr>
          <w:ilvl w:val="0"/>
          <w:numId w:val="1"/>
        </w:numPr>
        <w:tabs>
          <w:tab w:val="left" w:pos="656"/>
        </w:tabs>
        <w:ind w:firstLine="500"/>
        <w:jc w:val="both"/>
        <w:rPr>
          <w:sz w:val="36"/>
          <w:szCs w:val="40"/>
        </w:rPr>
      </w:pPr>
      <w:bookmarkStart w:id="2" w:name="bookmark2"/>
      <w:bookmarkEnd w:id="2"/>
      <w:r w:rsidRPr="008C0898">
        <w:rPr>
          <w:color w:val="000000"/>
          <w:sz w:val="36"/>
          <w:szCs w:val="40"/>
        </w:rPr>
        <w:t xml:space="preserve">прием в телефонном режиме </w:t>
      </w:r>
      <w:proofErr w:type="gramStart"/>
      <w:r w:rsidRPr="008C0898">
        <w:rPr>
          <w:color w:val="000000"/>
          <w:sz w:val="36"/>
          <w:szCs w:val="40"/>
        </w:rPr>
        <w:t>показаний индивидуальных</w:t>
      </w:r>
      <w:r>
        <w:rPr>
          <w:color w:val="000000"/>
          <w:sz w:val="36"/>
          <w:szCs w:val="40"/>
        </w:rPr>
        <w:t xml:space="preserve"> </w:t>
      </w:r>
      <w:r w:rsidRPr="008C0898">
        <w:rPr>
          <w:color w:val="000000"/>
          <w:sz w:val="36"/>
          <w:szCs w:val="40"/>
        </w:rPr>
        <w:t xml:space="preserve"> приборов учета расхода газа</w:t>
      </w:r>
      <w:proofErr w:type="gramEnd"/>
      <w:r w:rsidRPr="008C0898">
        <w:rPr>
          <w:color w:val="000000"/>
          <w:sz w:val="36"/>
          <w:szCs w:val="40"/>
        </w:rPr>
        <w:t xml:space="preserve"> для отражения в карточках лицевых счетов базы данных абонентского учета;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numPr>
          <w:ilvl w:val="0"/>
          <w:numId w:val="1"/>
        </w:numPr>
        <w:tabs>
          <w:tab w:val="left" w:pos="640"/>
        </w:tabs>
        <w:ind w:firstLine="500"/>
        <w:jc w:val="both"/>
        <w:rPr>
          <w:sz w:val="36"/>
          <w:szCs w:val="40"/>
        </w:rPr>
      </w:pPr>
      <w:bookmarkStart w:id="3" w:name="bookmark3"/>
      <w:bookmarkEnd w:id="3"/>
      <w:r w:rsidRPr="008C0898">
        <w:rPr>
          <w:color w:val="000000"/>
          <w:sz w:val="36"/>
          <w:szCs w:val="40"/>
        </w:rPr>
        <w:t>порядок применения норм законодательства, особенно по вопросам перерасчёта планово-нормативных начислений, периодичности оплаты и подачи показаний ПУГ;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numPr>
          <w:ilvl w:val="0"/>
          <w:numId w:val="1"/>
        </w:numPr>
        <w:tabs>
          <w:tab w:val="left" w:pos="697"/>
        </w:tabs>
        <w:ind w:firstLine="500"/>
        <w:jc w:val="both"/>
        <w:rPr>
          <w:sz w:val="36"/>
          <w:szCs w:val="40"/>
        </w:rPr>
      </w:pPr>
      <w:bookmarkStart w:id="4" w:name="bookmark4"/>
      <w:bookmarkEnd w:id="4"/>
      <w:r w:rsidRPr="008C0898">
        <w:rPr>
          <w:color w:val="000000"/>
          <w:sz w:val="36"/>
          <w:szCs w:val="40"/>
        </w:rPr>
        <w:t>о видах безналичных форма платежей и удаленная помощь в настройке и использовании соответствующих программных продуктов.</w:t>
      </w:r>
    </w:p>
    <w:p w:rsid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color w:val="000000"/>
          <w:sz w:val="22"/>
        </w:rPr>
      </w:pPr>
      <w:r w:rsidRPr="008C0898">
        <w:rPr>
          <w:color w:val="000000"/>
          <w:sz w:val="36"/>
          <w:szCs w:val="40"/>
        </w:rPr>
        <w:t>В рамках совместных действий по повышению качества обслуживания граждан, являющихся потребителями природного газа на территории муниципального образования, просим Вас поручить соответствующим службам разместить информацию о работе Call-центр</w:t>
      </w:r>
      <w:proofErr w:type="gramStart"/>
      <w:r w:rsidRPr="008C0898">
        <w:rPr>
          <w:color w:val="000000"/>
          <w:sz w:val="36"/>
          <w:szCs w:val="40"/>
        </w:rPr>
        <w:t>а ООО</w:t>
      </w:r>
      <w:proofErr w:type="gramEnd"/>
      <w:r w:rsidRPr="008C0898">
        <w:rPr>
          <w:color w:val="000000"/>
          <w:sz w:val="36"/>
          <w:szCs w:val="40"/>
        </w:rPr>
        <w:t xml:space="preserve"> «Газпром </w:t>
      </w:r>
      <w:proofErr w:type="spellStart"/>
      <w:r w:rsidRPr="008C0898">
        <w:rPr>
          <w:color w:val="000000"/>
          <w:sz w:val="36"/>
          <w:szCs w:val="40"/>
        </w:rPr>
        <w:t>Межрегионгаз</w:t>
      </w:r>
      <w:proofErr w:type="spellEnd"/>
      <w:r w:rsidRPr="008C0898">
        <w:rPr>
          <w:color w:val="000000"/>
          <w:sz w:val="36"/>
          <w:szCs w:val="40"/>
        </w:rPr>
        <w:t xml:space="preserve"> Махачкала» на информационных стендах подведомственных учреждений и официальном сайте муниципального образования</w:t>
      </w:r>
      <w:r>
        <w:rPr>
          <w:color w:val="000000"/>
          <w:sz w:val="22"/>
        </w:rPr>
        <w:t>.</w:t>
      </w:r>
    </w:p>
    <w:p w:rsid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color w:val="000000"/>
          <w:sz w:val="22"/>
        </w:rPr>
      </w:pPr>
    </w:p>
    <w:p w:rsid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color w:val="000000"/>
          <w:sz w:val="22"/>
        </w:rPr>
      </w:pP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color w:val="000000"/>
          <w:sz w:val="32"/>
        </w:rPr>
      </w:pPr>
      <w:r w:rsidRPr="008C0898">
        <w:rPr>
          <w:color w:val="000000"/>
          <w:sz w:val="32"/>
        </w:rPr>
        <w:t>Генеральный директор</w:t>
      </w:r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color w:val="000000"/>
          <w:sz w:val="32"/>
        </w:rPr>
      </w:pPr>
      <w:proofErr w:type="spellStart"/>
      <w:r w:rsidRPr="008C0898">
        <w:rPr>
          <w:color w:val="000000"/>
          <w:sz w:val="32"/>
        </w:rPr>
        <w:t>ОООГазпром</w:t>
      </w:r>
      <w:proofErr w:type="spellEnd"/>
      <w:r w:rsidRPr="008C0898">
        <w:rPr>
          <w:color w:val="000000"/>
          <w:sz w:val="32"/>
        </w:rPr>
        <w:t xml:space="preserve"> </w:t>
      </w:r>
      <w:proofErr w:type="spellStart"/>
      <w:r w:rsidRPr="008C0898">
        <w:rPr>
          <w:color w:val="000000"/>
          <w:sz w:val="32"/>
        </w:rPr>
        <w:t>Межрегионга</w:t>
      </w:r>
      <w:proofErr w:type="spellEnd"/>
    </w:p>
    <w:p w:rsidR="008C0898" w:rsidRPr="008C0898" w:rsidRDefault="008C0898" w:rsidP="008C0898">
      <w:pPr>
        <w:pStyle w:val="1"/>
        <w:framePr w:w="10543" w:h="14931" w:hRule="exact" w:wrap="none" w:vAnchor="text" w:hAnchor="page" w:x="612" w:y="-87"/>
        <w:ind w:firstLine="500"/>
        <w:jc w:val="both"/>
        <w:rPr>
          <w:sz w:val="32"/>
        </w:rPr>
      </w:pPr>
      <w:r w:rsidRPr="008C0898">
        <w:rPr>
          <w:color w:val="000000"/>
          <w:sz w:val="32"/>
        </w:rPr>
        <w:t xml:space="preserve">Махачкала                                            </w:t>
      </w:r>
      <w:r>
        <w:rPr>
          <w:color w:val="000000"/>
          <w:sz w:val="32"/>
        </w:rPr>
        <w:t xml:space="preserve">           </w:t>
      </w:r>
      <w:r w:rsidRPr="008C0898">
        <w:rPr>
          <w:color w:val="000000"/>
          <w:sz w:val="32"/>
        </w:rPr>
        <w:t xml:space="preserve">              В.Н </w:t>
      </w:r>
      <w:proofErr w:type="spellStart"/>
      <w:r w:rsidRPr="008C0898">
        <w:rPr>
          <w:color w:val="000000"/>
          <w:sz w:val="32"/>
        </w:rPr>
        <w:t>Кантеев</w:t>
      </w:r>
      <w:proofErr w:type="spellEnd"/>
    </w:p>
    <w:p w:rsidR="009241D5" w:rsidRDefault="009241D5"/>
    <w:sectPr w:rsidR="009241D5" w:rsidSect="009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56BEB"/>
    <w:multiLevelType w:val="multilevel"/>
    <w:tmpl w:val="04069C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898"/>
    <w:rsid w:val="001A1451"/>
    <w:rsid w:val="008C0898"/>
    <w:rsid w:val="0092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C0898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8C089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2020-11-09T06:48:00Z</cp:lastPrinted>
  <dcterms:created xsi:type="dcterms:W3CDTF">2020-11-09T06:40:00Z</dcterms:created>
  <dcterms:modified xsi:type="dcterms:W3CDTF">2020-11-09T06:51:00Z</dcterms:modified>
</cp:coreProperties>
</file>